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Die neue Ruhe: Cool Blue – die Farbe der stillen Sehnsucht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2026 bringt der Farbtrend „Cool Blue“ Ruhe und Klarheit in den Alltag. Der kühle, beinahe glaziale Blauton wirkt elegant, modern und zugleich angenehm zurückhaltend. In einer visuell überladenen Welt erscheint er wie ein leiser Moment des Innehaltens: vielseitig einsetzbar, zeitlos schön und von subtiler emotionaler Tiefe geprägt.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Gerade auf dem gedeckten Tisch entfaltet Cool Blue seine besondere Ausstrahlung. Es verleiht Arrangements eine frische Leichtigkeit, hebt selbst schlichte Speisen hervor und schafft eine ruhige, fast meditative Atmosphäre. So wird der Tisch von einem funktionalen Ort zu einer bewusst gestalteten Bühne.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Salzkammergut Keramik greift diesen Ansatz auf und übersetzt ihn in handwerkliche Formen. Teller, Schalen und Becher überzeugen durch feine Glasurverläufe, die je nach Lichteinfall sanft changieren. Dadurch wirkt der Blau-Ton niemals kühl oder distanziert, sondern lebendig und organisch. Die Verbindung aus traditioneller Fertigung und klarer Ästhetik bringt Wärme in die Gestaltung und verleiht den Objekten einen eigenen Charakter: Sie erinnern an alpine Seen, frühe Morgenstunden und stille Landschaften.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Cool Blue ist ein bewusstes Bekenntnis zur Reduktion und zeigt, dass weniger oft mehr ist. So entsteht ein gedeckter Tisch, der moderne Ästhetik mit stiller Eleganz verbindet und gerade durch seine Zurückhaltung nachhaltig Eindruck hinterlässt – ruhig, zeitlos und überraschend berührend.</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